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4379" w:rsidRDefault="0010648A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80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4"/>
        <w:gridCol w:w="956"/>
        <w:gridCol w:w="270"/>
        <w:gridCol w:w="540"/>
        <w:gridCol w:w="270"/>
        <w:gridCol w:w="810"/>
        <w:gridCol w:w="1530"/>
        <w:gridCol w:w="120"/>
        <w:gridCol w:w="105"/>
        <w:gridCol w:w="1410"/>
        <w:gridCol w:w="2370"/>
        <w:gridCol w:w="990"/>
        <w:gridCol w:w="975"/>
      </w:tblGrid>
      <w:tr w:rsidR="00A84379">
        <w:trPr>
          <w:trHeight w:val="226"/>
        </w:trPr>
        <w:tc>
          <w:tcPr>
            <w:tcW w:w="4950" w:type="dxa"/>
            <w:gridSpan w:val="8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850" w:type="dxa"/>
            <w:gridSpan w:val="5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Марина Д. Ћирић</w:t>
            </w:r>
          </w:p>
        </w:tc>
      </w:tr>
      <w:tr w:rsidR="00A84379">
        <w:trPr>
          <w:trHeight w:val="55"/>
        </w:trPr>
        <w:tc>
          <w:tcPr>
            <w:tcW w:w="4950" w:type="dxa"/>
            <w:gridSpan w:val="8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850" w:type="dxa"/>
            <w:gridSpan w:val="5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Доцент</w:t>
            </w:r>
          </w:p>
        </w:tc>
      </w:tr>
      <w:tr w:rsidR="00A84379">
        <w:trPr>
          <w:trHeight w:val="253"/>
        </w:trPr>
        <w:tc>
          <w:tcPr>
            <w:tcW w:w="4950" w:type="dxa"/>
            <w:gridSpan w:val="8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850" w:type="dxa"/>
            <w:gridSpan w:val="5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Нишу, од 2011. године</w:t>
            </w:r>
          </w:p>
        </w:tc>
      </w:tr>
      <w:tr w:rsidR="00A84379">
        <w:trPr>
          <w:trHeight w:val="55"/>
        </w:trPr>
        <w:tc>
          <w:tcPr>
            <w:tcW w:w="4950" w:type="dxa"/>
            <w:gridSpan w:val="8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850" w:type="dxa"/>
            <w:gridSpan w:val="5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A84379">
        <w:trPr>
          <w:trHeight w:val="163"/>
        </w:trPr>
        <w:tc>
          <w:tcPr>
            <w:tcW w:w="10800" w:type="dxa"/>
            <w:gridSpan w:val="1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A84379">
        <w:trPr>
          <w:trHeight w:val="82"/>
        </w:trPr>
        <w:tc>
          <w:tcPr>
            <w:tcW w:w="1410" w:type="dxa"/>
            <w:gridSpan w:val="2"/>
            <w:vAlign w:val="center"/>
          </w:tcPr>
          <w:p w:rsidR="00A84379" w:rsidRDefault="00A84379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2610" w:type="dxa"/>
            <w:gridSpan w:val="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4005" w:type="dxa"/>
            <w:gridSpan w:val="4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област </w:t>
            </w:r>
          </w:p>
        </w:tc>
        <w:tc>
          <w:tcPr>
            <w:tcW w:w="1965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A84379">
        <w:trPr>
          <w:trHeight w:val="181"/>
        </w:trPr>
        <w:tc>
          <w:tcPr>
            <w:tcW w:w="14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2023.</w:t>
            </w:r>
          </w:p>
        </w:tc>
        <w:tc>
          <w:tcPr>
            <w:tcW w:w="2610" w:type="dxa"/>
            <w:gridSpan w:val="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4005" w:type="dxa"/>
            <w:gridSpan w:val="4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965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A84379">
        <w:trPr>
          <w:trHeight w:val="100"/>
        </w:trPr>
        <w:tc>
          <w:tcPr>
            <w:tcW w:w="14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2022.</w:t>
            </w:r>
          </w:p>
        </w:tc>
        <w:tc>
          <w:tcPr>
            <w:tcW w:w="2610" w:type="dxa"/>
            <w:gridSpan w:val="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4005" w:type="dxa"/>
            <w:gridSpan w:val="4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965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A84379">
        <w:trPr>
          <w:trHeight w:val="127"/>
        </w:trPr>
        <w:tc>
          <w:tcPr>
            <w:tcW w:w="14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1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2010.</w:t>
            </w:r>
          </w:p>
        </w:tc>
        <w:tc>
          <w:tcPr>
            <w:tcW w:w="2610" w:type="dxa"/>
            <w:gridSpan w:val="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4005" w:type="dxa"/>
            <w:gridSpan w:val="4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965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A84379">
        <w:trPr>
          <w:trHeight w:val="226"/>
        </w:trPr>
        <w:tc>
          <w:tcPr>
            <w:tcW w:w="10800" w:type="dxa"/>
            <w:gridSpan w:val="1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A84379" w:rsidTr="00005F0A">
        <w:trPr>
          <w:trHeight w:val="505"/>
        </w:trPr>
        <w:tc>
          <w:tcPr>
            <w:tcW w:w="454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  <w:p w:rsidR="00A84379" w:rsidRDefault="00A84379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975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Врста студија</w:t>
            </w:r>
          </w:p>
        </w:tc>
      </w:tr>
      <w:tr w:rsidR="00A84379" w:rsidTr="00005F0A">
        <w:trPr>
          <w:trHeight w:val="82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OPD029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Високошколска педагогија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A84379" w:rsidTr="00005F0A">
        <w:trPr>
          <w:trHeight w:val="271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OPD032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Методика васпитно- образовног рада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A84379" w:rsidTr="00005F0A">
        <w:trPr>
          <w:trHeight w:val="82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OPD009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Теорије интелектуалног васпитања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A84379" w:rsidTr="00005F0A">
        <w:trPr>
          <w:trHeight w:val="271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7A6F24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OPD041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7A6F24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Образовна технологија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Педагогија, Филозофија, Немачки језик и књижевност, Историја</w:t>
            </w:r>
          </w:p>
        </w:tc>
        <w:tc>
          <w:tcPr>
            <w:tcW w:w="975" w:type="dxa"/>
            <w:vAlign w:val="center"/>
          </w:tcPr>
          <w:p w:rsidR="00A84379" w:rsidRDefault="00A84379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18"/>
                <w:szCs w:val="18"/>
              </w:rPr>
            </w:pPr>
          </w:p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A84379" w:rsidTr="00005F0A">
        <w:trPr>
          <w:trHeight w:val="244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OPD026</w:t>
            </w:r>
          </w:p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OPD027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Породична педагогија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Немачки језик и књижевност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A84379" w:rsidTr="00005F0A">
        <w:trPr>
          <w:trHeight w:val="1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6. 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OPD039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 родитељства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Социјална политика и социјални рад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</w:t>
            </w:r>
            <w:bookmarkStart w:id="0" w:name="_GoBack"/>
            <w:bookmarkEnd w:id="0"/>
            <w:r>
              <w:rPr>
                <w:sz w:val="18"/>
                <w:szCs w:val="18"/>
              </w:rPr>
              <w:t>С</w:t>
            </w:r>
          </w:p>
        </w:tc>
      </w:tr>
      <w:tr w:rsidR="00A84379" w:rsidTr="00005F0A">
        <w:trPr>
          <w:trHeight w:val="190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7. 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MPD020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Теорије васпитања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A84379" w:rsidTr="00005F0A">
        <w:trPr>
          <w:trHeight w:val="21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8. 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MPD006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Породични односи и васпитање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A84379" w:rsidTr="00005F0A">
        <w:trPr>
          <w:trHeight w:val="136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 xml:space="preserve">9. 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PNI13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Породица и васпитно-образовне установе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A84379" w:rsidTr="00005F0A">
        <w:trPr>
          <w:trHeight w:val="1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  <w:lang w:val="sr-Cyrl-RS"/>
              </w:rPr>
              <w:t>10</w:t>
            </w:r>
          </w:p>
        </w:tc>
        <w:tc>
          <w:tcPr>
            <w:tcW w:w="1226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PNI26</w:t>
            </w:r>
          </w:p>
        </w:tc>
        <w:tc>
          <w:tcPr>
            <w:tcW w:w="3375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Методика васпитно-образовног рада</w:t>
            </w:r>
          </w:p>
        </w:tc>
        <w:tc>
          <w:tcPr>
            <w:tcW w:w="1410" w:type="dxa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360" w:type="dxa"/>
            <w:gridSpan w:val="2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наставника предметне наставе</w:t>
            </w:r>
          </w:p>
        </w:tc>
        <w:tc>
          <w:tcPr>
            <w:tcW w:w="975" w:type="dxa"/>
            <w:vAlign w:val="center"/>
          </w:tcPr>
          <w:p w:rsidR="00A84379" w:rsidRDefault="0010648A" w:rsidP="00005F0A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A84379">
        <w:trPr>
          <w:trHeight w:val="136"/>
        </w:trPr>
        <w:tc>
          <w:tcPr>
            <w:tcW w:w="10800" w:type="dxa"/>
            <w:gridSpan w:val="1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Ćirić, M. (2025). Analiza strategije obezbeđenja i unapređenja kvaliteta angažovanja studenata Univerziteta u Nišu. </w:t>
            </w:r>
            <w:r>
              <w:rPr>
                <w:i/>
                <w:iCs/>
                <w:sz w:val="18"/>
                <w:szCs w:val="18"/>
              </w:rPr>
              <w:t>Godišnjak za pedagogiju</w:t>
            </w:r>
            <w:r>
              <w:rPr>
                <w:sz w:val="18"/>
                <w:szCs w:val="18"/>
              </w:rPr>
              <w:t xml:space="preserve">, 10(2), 83-95. </w:t>
            </w:r>
            <w:hyperlink r:id="rId8">
              <w:r>
                <w:rPr>
                  <w:color w:val="0000FF"/>
                  <w:sz w:val="18"/>
                  <w:szCs w:val="18"/>
                  <w:u w:val="single"/>
                </w:rPr>
                <w:t>https://doi.org/10.46630/gped.2.2025.6</w:t>
              </w:r>
            </w:hyperlink>
            <w:r>
              <w:rPr>
                <w:sz w:val="18"/>
                <w:szCs w:val="18"/>
              </w:rPr>
              <w:t xml:space="preserve">  (M51)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 w:hanging="11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Ćirić, M. &amp; Semiz, M. (2025). Representation of student engagement indicators – student and faculty perception. </w:t>
            </w:r>
            <w:r>
              <w:rPr>
                <w:i/>
                <w:iCs/>
                <w:color w:val="000000"/>
                <w:sz w:val="18"/>
                <w:szCs w:val="18"/>
              </w:rPr>
              <w:t>SCIENCE International Journal, 4</w:t>
            </w:r>
            <w:r>
              <w:rPr>
                <w:color w:val="000000"/>
                <w:sz w:val="18"/>
                <w:szCs w:val="18"/>
              </w:rPr>
              <w:t xml:space="preserve">(1), 107-112. </w:t>
            </w:r>
            <w:hyperlink r:id="rId9">
              <w:r>
                <w:rPr>
                  <w:color w:val="0000FF"/>
                  <w:sz w:val="18"/>
                  <w:szCs w:val="18"/>
                  <w:u w:val="single"/>
                </w:rPr>
                <w:t>https://doi.org/10.35120/</w:t>
              </w:r>
            </w:hyperlink>
            <w:r>
              <w:rPr>
                <w:color w:val="0000FF"/>
                <w:sz w:val="18"/>
                <w:szCs w:val="18"/>
              </w:rPr>
              <w:t xml:space="preserve"> </w:t>
            </w:r>
            <w:r>
              <w:rPr>
                <w:color w:val="000000"/>
                <w:sz w:val="18"/>
                <w:szCs w:val="18"/>
              </w:rPr>
              <w:t>(М23)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3. 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 w:right="147" w:hanging="110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Semiz, M., Čutović, M. &amp; Ćirić, M. (2024). Advantages and Disadvantages of M-Learning in University Teaching. In: I. Milićević (Ed.) </w:t>
            </w:r>
            <w:r>
              <w:rPr>
                <w:i/>
                <w:iCs/>
                <w:color w:val="000000"/>
                <w:sz w:val="18"/>
                <w:szCs w:val="18"/>
              </w:rPr>
              <w:t xml:space="preserve">Proceedings Technics, Informatics,and Education – TIE 2024 </w:t>
            </w:r>
            <w:r>
              <w:rPr>
                <w:color w:val="000000"/>
                <w:sz w:val="18"/>
                <w:szCs w:val="18"/>
              </w:rPr>
              <w:t>(pp. 343- 350). 10.46793/TIE24.343S (М45)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Ćirić, M. (2022). Socio-demographic Characteristics as Determinants of Student Engagement. </w:t>
            </w:r>
            <w:r>
              <w:rPr>
                <w:i/>
                <w:iCs/>
                <w:sz w:val="18"/>
                <w:szCs w:val="18"/>
              </w:rPr>
              <w:t>Facta Universitats-Series: Philosophy, Sociology, Psycology and History</w:t>
            </w:r>
            <w:r>
              <w:rPr>
                <w:sz w:val="18"/>
                <w:szCs w:val="18"/>
              </w:rPr>
              <w:t xml:space="preserve">, </w:t>
            </w:r>
            <w:r>
              <w:rPr>
                <w:i/>
                <w:iCs/>
                <w:sz w:val="18"/>
                <w:szCs w:val="18"/>
              </w:rPr>
              <w:t>21</w:t>
            </w:r>
            <w:r>
              <w:rPr>
                <w:sz w:val="18"/>
                <w:szCs w:val="18"/>
              </w:rPr>
              <w:t xml:space="preserve">(3), 179-189. </w:t>
            </w:r>
            <w:hyperlink r:id="rId10">
              <w:r>
                <w:rPr>
                  <w:color w:val="0000FF"/>
                  <w:sz w:val="18"/>
                  <w:szCs w:val="18"/>
                  <w:u w:val="single"/>
                </w:rPr>
                <w:t>https://doi.org/10.22190/FUPSPH2203179C</w:t>
              </w:r>
            </w:hyperlink>
            <w:r>
              <w:rPr>
                <w:color w:val="0000FF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(М52)</w:t>
            </w:r>
          </w:p>
        </w:tc>
      </w:tr>
      <w:tr w:rsidR="00A84379" w:rsidTr="00005F0A">
        <w:trPr>
          <w:trHeight w:val="154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 w:hanging="110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Ćirić, M. (2022). Faculty Strategies and the Perception of Student Engagement in Higher Education. </w:t>
            </w:r>
            <w:r>
              <w:rPr>
                <w:i/>
                <w:iCs/>
                <w:color w:val="000000"/>
                <w:sz w:val="18"/>
                <w:szCs w:val="18"/>
              </w:rPr>
              <w:t>Facta Universitats - Series: Teaching, Learning and Teacher Education, 6</w:t>
            </w:r>
            <w:r>
              <w:rPr>
                <w:color w:val="000000"/>
                <w:sz w:val="18"/>
                <w:szCs w:val="18"/>
              </w:rPr>
              <w:t xml:space="preserve">(2), 141 – 154. </w:t>
            </w:r>
            <w:hyperlink r:id="rId11">
              <w:r>
                <w:rPr>
                  <w:color w:val="0000FF"/>
                  <w:sz w:val="18"/>
                  <w:szCs w:val="18"/>
                  <w:u w:val="single"/>
                </w:rPr>
                <w:t>https://doi.org/10.22190/FUTLTE221112010C</w:t>
              </w:r>
            </w:hyperlink>
            <w:r>
              <w:rPr>
                <w:color w:val="000000"/>
                <w:sz w:val="18"/>
                <w:szCs w:val="18"/>
              </w:rPr>
              <w:t xml:space="preserve">  (М52) </w:t>
            </w:r>
          </w:p>
        </w:tc>
      </w:tr>
      <w:tr w:rsidR="00A84379" w:rsidTr="00005F0A">
        <w:trPr>
          <w:trHeight w:val="64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Ćirić, M. (2022). Angažovanje studenata u visokoškolskim ustanovama – pregled istraživanja. </w:t>
            </w:r>
            <w:r>
              <w:rPr>
                <w:i/>
                <w:iCs/>
                <w:sz w:val="18"/>
                <w:szCs w:val="18"/>
              </w:rPr>
              <w:t>Godišnjak za pedagogiju</w:t>
            </w:r>
            <w:r>
              <w:rPr>
                <w:sz w:val="18"/>
                <w:szCs w:val="18"/>
              </w:rPr>
              <w:t xml:space="preserve">, </w:t>
            </w:r>
            <w:r>
              <w:rPr>
                <w:i/>
                <w:iCs/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 xml:space="preserve">(2), 25–35. </w:t>
            </w:r>
            <w:hyperlink r:id="rId12">
              <w:r>
                <w:rPr>
                  <w:color w:val="0000FF"/>
                  <w:sz w:val="18"/>
                  <w:szCs w:val="18"/>
                  <w:u w:val="single"/>
                </w:rPr>
                <w:t>https://doi.org/10.46630/gped.2.2022.2</w:t>
              </w:r>
            </w:hyperlink>
            <w:r>
              <w:rPr>
                <w:color w:val="0000FF"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(М52)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Ћирић, М., Петровић, Ј. и Јовановић, Д. (2020). Студент у центру учења - парадигма савременог високошколског образовања. </w:t>
            </w:r>
            <w:r>
              <w:rPr>
                <w:i/>
                <w:iCs/>
                <w:sz w:val="18"/>
                <w:szCs w:val="18"/>
              </w:rPr>
              <w:t>Синтезе</w:t>
            </w:r>
            <w:r>
              <w:rPr>
                <w:sz w:val="18"/>
                <w:szCs w:val="18"/>
              </w:rPr>
              <w:t xml:space="preserve">, 17, 83-99.  </w:t>
            </w:r>
            <w:r>
              <w:rPr>
                <w:sz w:val="18"/>
                <w:szCs w:val="18"/>
                <w:u w:val="single"/>
              </w:rPr>
              <w:t>doi:10.5937/sinteze9-26149 (М52)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widowControl/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Ћирић, М. (2019). Партиципација ученика у различитим моделима учења. </w:t>
            </w:r>
            <w:r>
              <w:rPr>
                <w:i/>
                <w:iCs/>
                <w:sz w:val="18"/>
                <w:szCs w:val="18"/>
              </w:rPr>
              <w:t xml:space="preserve">Годишњак за педагогију, </w:t>
            </w:r>
            <w:r>
              <w:rPr>
                <w:sz w:val="18"/>
                <w:szCs w:val="18"/>
              </w:rPr>
              <w:t xml:space="preserve">4(2), 59-71. </w:t>
            </w:r>
            <w:hyperlink r:id="rId13">
              <w:r>
                <w:rPr>
                  <w:color w:val="0000FF"/>
                  <w:sz w:val="18"/>
                  <w:szCs w:val="18"/>
                  <w:u w:val="single"/>
                </w:rPr>
                <w:t>https://doi.org/10.46630/gped.2.2019.05</w:t>
              </w:r>
            </w:hyperlink>
            <w:r>
              <w:rPr>
                <w:sz w:val="18"/>
                <w:szCs w:val="18"/>
              </w:rPr>
              <w:t xml:space="preserve"> (М52)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Jovanović, D. i M. Ćirić (2019). Razvoj liderske misli i prakse liderstva nastavnika: izazov i zahtev kvaliteta učenja i efektivnosti savremene nastave. U: Lj. Paunović i S. Vidosavljević (Ur.), </w:t>
            </w:r>
            <w:r>
              <w:rPr>
                <w:i/>
                <w:iCs/>
                <w:sz w:val="18"/>
                <w:szCs w:val="18"/>
              </w:rPr>
              <w:t xml:space="preserve">Inovativni pristup vaspitanju i obrazovanju: stanje, dileme i perspektive </w:t>
            </w:r>
            <w:r>
              <w:rPr>
                <w:sz w:val="18"/>
                <w:szCs w:val="18"/>
              </w:rPr>
              <w:t>(327-342), Učiteljski fakultet, Prizren. (М45)</w:t>
            </w:r>
          </w:p>
        </w:tc>
      </w:tr>
      <w:tr w:rsidR="00A84379" w:rsidTr="00005F0A">
        <w:trPr>
          <w:trHeight w:val="427"/>
        </w:trPr>
        <w:tc>
          <w:tcPr>
            <w:tcW w:w="454" w:type="dxa"/>
            <w:vAlign w:val="center"/>
          </w:tcPr>
          <w:p w:rsidR="00A84379" w:rsidRPr="00005F0A" w:rsidRDefault="00005F0A" w:rsidP="00005F0A">
            <w:pPr>
              <w:widowControl/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 xml:space="preserve">10. </w:t>
            </w:r>
          </w:p>
        </w:tc>
        <w:tc>
          <w:tcPr>
            <w:tcW w:w="10346" w:type="dxa"/>
            <w:gridSpan w:val="12"/>
          </w:tcPr>
          <w:p w:rsidR="00A84379" w:rsidRDefault="0010648A" w:rsidP="00AA3E09">
            <w:pPr>
              <w:tabs>
                <w:tab w:val="left" w:pos="567"/>
              </w:tabs>
              <w:ind w:hanging="11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Ћирић, М. и Јовановић, Д. (2018). Конструктивизам у педагогији: карактеристике, домети и ограничења. </w:t>
            </w:r>
            <w:r>
              <w:rPr>
                <w:i/>
                <w:iCs/>
                <w:sz w:val="18"/>
                <w:szCs w:val="18"/>
              </w:rPr>
              <w:t>Годишњак за педагогију</w:t>
            </w:r>
            <w:r>
              <w:rPr>
                <w:sz w:val="18"/>
                <w:szCs w:val="18"/>
              </w:rPr>
              <w:t xml:space="preserve">, 3(2), 57–71.  </w:t>
            </w:r>
            <w:hyperlink r:id="rId14">
              <w:r>
                <w:rPr>
                  <w:color w:val="0000FF"/>
                  <w:sz w:val="18"/>
                  <w:szCs w:val="18"/>
                  <w:u w:val="single"/>
                </w:rPr>
                <w:t>https://doi.org/10.46630/gped.2.2018.05</w:t>
              </w:r>
            </w:hyperlink>
            <w:r>
              <w:rPr>
                <w:sz w:val="18"/>
                <w:szCs w:val="18"/>
              </w:rPr>
              <w:t xml:space="preserve"> (М52)</w:t>
            </w:r>
          </w:p>
        </w:tc>
      </w:tr>
      <w:tr w:rsidR="00A84379">
        <w:trPr>
          <w:trHeight w:val="280"/>
        </w:trPr>
        <w:tc>
          <w:tcPr>
            <w:tcW w:w="10800" w:type="dxa"/>
            <w:gridSpan w:val="13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A84379">
        <w:trPr>
          <w:trHeight w:val="262"/>
        </w:trPr>
        <w:tc>
          <w:tcPr>
            <w:tcW w:w="3300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7500" w:type="dxa"/>
            <w:gridSpan w:val="7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147 </w:t>
            </w:r>
            <w:hyperlink r:id="rId15">
              <w:r>
                <w:rPr>
                  <w:color w:val="0000FF"/>
                  <w:sz w:val="18"/>
                  <w:szCs w:val="18"/>
                  <w:u w:val="single"/>
                </w:rPr>
                <w:t>https://www.researchgate.net/profile/Marina-Ciric</w:t>
              </w:r>
            </w:hyperlink>
          </w:p>
        </w:tc>
      </w:tr>
      <w:tr w:rsidR="00A84379">
        <w:trPr>
          <w:trHeight w:val="253"/>
        </w:trPr>
        <w:tc>
          <w:tcPr>
            <w:tcW w:w="3300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7500" w:type="dxa"/>
            <w:gridSpan w:val="7"/>
            <w:vAlign w:val="center"/>
          </w:tcPr>
          <w:p w:rsidR="00A84379" w:rsidRDefault="00A84379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</w:tr>
      <w:tr w:rsidR="00A84379">
        <w:trPr>
          <w:trHeight w:val="278"/>
        </w:trPr>
        <w:tc>
          <w:tcPr>
            <w:tcW w:w="3300" w:type="dxa"/>
            <w:gridSpan w:val="6"/>
            <w:vAlign w:val="center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7500" w:type="dxa"/>
            <w:gridSpan w:val="7"/>
            <w:vAlign w:val="center"/>
          </w:tcPr>
          <w:p w:rsidR="00A84379" w:rsidRDefault="0010648A" w:rsidP="00AA3E09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 xml:space="preserve">Наука, образовање педагога и тржиште рада у сусрет 55. годишњици рада Филозофског факултета Универзитета у Нишу “, </w:t>
            </w:r>
            <w:r>
              <w:rPr>
                <w:sz w:val="18"/>
                <w:szCs w:val="18"/>
              </w:rPr>
              <w:t>који се изводи на Филозофском факултету Универзитета у Нишу (бр. 373/1-12-01). (Уговор бр. 451-03-137/2025-03).</w:t>
            </w:r>
          </w:p>
        </w:tc>
      </w:tr>
      <w:tr w:rsidR="00A84379">
        <w:trPr>
          <w:trHeight w:val="427"/>
        </w:trPr>
        <w:tc>
          <w:tcPr>
            <w:tcW w:w="2490" w:type="dxa"/>
            <w:gridSpan w:val="5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Усавршавања</w:t>
            </w:r>
          </w:p>
        </w:tc>
        <w:tc>
          <w:tcPr>
            <w:tcW w:w="8310" w:type="dxa"/>
            <w:gridSpan w:val="8"/>
          </w:tcPr>
          <w:p w:rsidR="00A84379" w:rsidRDefault="0010648A" w:rsidP="00AA3E09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Полазница едукације из системске породичне терапије АСТ - породична саветница и системски породични психотерапеут под супервизијом.</w:t>
            </w:r>
          </w:p>
        </w:tc>
      </w:tr>
    </w:tbl>
    <w:p w:rsidR="00A84379" w:rsidRDefault="00A84379">
      <w:pPr>
        <w:rPr>
          <w:sz w:val="18"/>
          <w:szCs w:val="18"/>
        </w:rPr>
      </w:pPr>
    </w:p>
    <w:sectPr w:rsidR="00A84379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B063C" w:rsidRDefault="00DB063C">
      <w:r>
        <w:separator/>
      </w:r>
    </w:p>
  </w:endnote>
  <w:endnote w:type="continuationSeparator" w:id="0">
    <w:p w:rsidR="00DB063C" w:rsidRDefault="00DB06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8D8D770E-2DA1-470E-ACEB-C5E20E795A4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F2CCCA4-A8B4-46AE-80FF-64EEF1BD188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FC380BE-EDE7-42B6-8AF6-EADC24EFE5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A8437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10648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A8437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B063C" w:rsidRDefault="00DB063C">
      <w:r>
        <w:separator/>
      </w:r>
    </w:p>
  </w:footnote>
  <w:footnote w:type="continuationSeparator" w:id="0">
    <w:p w:rsidR="00DB063C" w:rsidRDefault="00DB06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A8437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10648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A84379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A84379">
      <w:trPr>
        <w:trHeight w:val="467"/>
        <w:jc w:val="center"/>
      </w:trPr>
      <w:tc>
        <w:tcPr>
          <w:tcW w:w="1634" w:type="dxa"/>
          <w:vMerge/>
          <w:vAlign w:val="center"/>
        </w:tcPr>
        <w:p w:rsidR="00A84379" w:rsidRDefault="00A843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A84379" w:rsidRDefault="00A843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A84379">
      <w:trPr>
        <w:trHeight w:val="449"/>
        <w:jc w:val="center"/>
      </w:trPr>
      <w:tc>
        <w:tcPr>
          <w:tcW w:w="1634" w:type="dxa"/>
          <w:vMerge/>
          <w:vAlign w:val="center"/>
        </w:tcPr>
        <w:p w:rsidR="00A84379" w:rsidRDefault="00A843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A84379" w:rsidRDefault="001064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1" w:name="_heading=h.rvbp9d8znx6" w:colFirst="0" w:colLast="0"/>
          <w:bookmarkEnd w:id="1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A84379" w:rsidRDefault="00A843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A84379" w:rsidRDefault="00A843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4379" w:rsidRDefault="00A8437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263AD0"/>
    <w:multiLevelType w:val="multilevel"/>
    <w:tmpl w:val="13948A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221C23"/>
    <w:multiLevelType w:val="multilevel"/>
    <w:tmpl w:val="63E6CA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4379"/>
    <w:rsid w:val="00005F0A"/>
    <w:rsid w:val="0010648A"/>
    <w:rsid w:val="007A6F24"/>
    <w:rsid w:val="00A84379"/>
    <w:rsid w:val="00AA3E09"/>
    <w:rsid w:val="00AE30FE"/>
    <w:rsid w:val="00DB0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C3E2AA"/>
  <w15:docId w15:val="{73C2DBDF-324F-4DB5-ADBA-F09158EAD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C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46630/gped.2.2025.6" TargetMode="External"/><Relationship Id="rId13" Type="http://schemas.openxmlformats.org/officeDocument/2006/relationships/hyperlink" Target="https://doi.org/10.46630/gped.2.2019.05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doi.org/10.46630/gped.2.2022.2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22190/FUTLTE221112010C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researchgate.net/profile/Marina-Ciric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doi.org/10.22190/FUPSPH2203179C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doi.org/10.35120/" TargetMode="External"/><Relationship Id="rId14" Type="http://schemas.openxmlformats.org/officeDocument/2006/relationships/hyperlink" Target="https://doi.org/10.46630/gped.2.2018.05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NxIwjcmtdjtFSPyUvNWDb7FjGQ==">CgMxLjAyDWgucnZicDlkOHpueDY4AHIhMVBTNWlHVVUybUlKZS1nY3NjSTFKRnJ1Z3lHbkRQenJs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730</Words>
  <Characters>4163</Characters>
  <Application>Microsoft Office Word</Application>
  <DocSecurity>0</DocSecurity>
  <Lines>34</Lines>
  <Paragraphs>9</Paragraphs>
  <ScaleCrop>false</ScaleCrop>
  <Company/>
  <LinksUpToDate>false</LinksUpToDate>
  <CharactersWithSpaces>4884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Autor</cp:lastModifiedBy>
  <cp:revision>4</cp:revision>
  <dcterms:created xsi:type="dcterms:W3CDTF">2026-07-06T23:35:00Z</dcterms:created>
  <dcterms:modified xsi:type="dcterms:W3CDTF">2026-07-07T01:24:00Z</dcterms:modified>
</cp:coreProperties>
</file>